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9"/>
        <w:gridCol w:w="5322"/>
      </w:tblGrid>
      <w:tr>
        <w:trPr>
          <w:trHeight w:val="1878" w:hRule="atLeast"/>
        </w:trPr>
        <w:tc>
          <w:tcPr>
            <w:tcW w:w="4679" w:type="dxa"/>
          </w:tcPr>
          <w:p>
            <w:pPr>
              <w:pStyle w:val="TableParagraph"/>
              <w:spacing w:before="359"/>
              <w:ind w:left="309"/>
              <w:rPr>
                <w:b/>
                <w:sz w:val="72"/>
              </w:rPr>
            </w:pPr>
            <w:r>
              <w:rPr>
                <w:b/>
                <w:sz w:val="7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3296">
                      <wp:simplePos x="0" y="0"/>
                      <wp:positionH relativeFrom="column">
                        <wp:posOffset>66484</wp:posOffset>
                      </wp:positionH>
                      <wp:positionV relativeFrom="paragraph">
                        <wp:posOffset>120324</wp:posOffset>
                      </wp:positionV>
                      <wp:extent cx="1076325" cy="7080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076325" cy="708025"/>
                                <a:chExt cx="1076325" cy="7080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20637" y="20637"/>
                                  <a:ext cx="1035050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050" h="666750">
                                      <a:moveTo>
                                        <a:pt x="517525" y="0"/>
                                      </a:moveTo>
                                      <a:lnTo>
                                        <a:pt x="461134" y="1955"/>
                                      </a:lnTo>
                                      <a:lnTo>
                                        <a:pt x="406502" y="7687"/>
                                      </a:lnTo>
                                      <a:lnTo>
                                        <a:pt x="353945" y="16992"/>
                                      </a:lnTo>
                                      <a:lnTo>
                                        <a:pt x="303778" y="29667"/>
                                      </a:lnTo>
                                      <a:lnTo>
                                        <a:pt x="256317" y="45508"/>
                                      </a:lnTo>
                                      <a:lnTo>
                                        <a:pt x="211879" y="64312"/>
                                      </a:lnTo>
                                      <a:lnTo>
                                        <a:pt x="170778" y="85877"/>
                                      </a:lnTo>
                                      <a:lnTo>
                                        <a:pt x="133330" y="109998"/>
                                      </a:lnTo>
                                      <a:lnTo>
                                        <a:pt x="99850" y="136474"/>
                                      </a:lnTo>
                                      <a:lnTo>
                                        <a:pt x="70656" y="165099"/>
                                      </a:lnTo>
                                      <a:lnTo>
                                        <a:pt x="46061" y="195673"/>
                                      </a:lnTo>
                                      <a:lnTo>
                                        <a:pt x="11936" y="261848"/>
                                      </a:lnTo>
                                      <a:lnTo>
                                        <a:pt x="0" y="333375"/>
                                      </a:lnTo>
                                      <a:lnTo>
                                        <a:pt x="3036" y="369705"/>
                                      </a:lnTo>
                                      <a:lnTo>
                                        <a:pt x="26383" y="438759"/>
                                      </a:lnTo>
                                      <a:lnTo>
                                        <a:pt x="70656" y="501650"/>
                                      </a:lnTo>
                                      <a:lnTo>
                                        <a:pt x="99850" y="530275"/>
                                      </a:lnTo>
                                      <a:lnTo>
                                        <a:pt x="133330" y="556751"/>
                                      </a:lnTo>
                                      <a:lnTo>
                                        <a:pt x="170778" y="580872"/>
                                      </a:lnTo>
                                      <a:lnTo>
                                        <a:pt x="211879" y="602437"/>
                                      </a:lnTo>
                                      <a:lnTo>
                                        <a:pt x="256317" y="621241"/>
                                      </a:lnTo>
                                      <a:lnTo>
                                        <a:pt x="303778" y="637082"/>
                                      </a:lnTo>
                                      <a:lnTo>
                                        <a:pt x="353945" y="649757"/>
                                      </a:lnTo>
                                      <a:lnTo>
                                        <a:pt x="406502" y="659062"/>
                                      </a:lnTo>
                                      <a:lnTo>
                                        <a:pt x="461134" y="664794"/>
                                      </a:lnTo>
                                      <a:lnTo>
                                        <a:pt x="517525" y="666750"/>
                                      </a:lnTo>
                                      <a:lnTo>
                                        <a:pt x="573924" y="664794"/>
                                      </a:lnTo>
                                      <a:lnTo>
                                        <a:pt x="628563" y="659062"/>
                                      </a:lnTo>
                                      <a:lnTo>
                                        <a:pt x="681124" y="649757"/>
                                      </a:lnTo>
                                      <a:lnTo>
                                        <a:pt x="731293" y="637082"/>
                                      </a:lnTo>
                                      <a:lnTo>
                                        <a:pt x="778754" y="621241"/>
                                      </a:lnTo>
                                      <a:lnTo>
                                        <a:pt x="823192" y="602437"/>
                                      </a:lnTo>
                                      <a:lnTo>
                                        <a:pt x="864292" y="580872"/>
                                      </a:lnTo>
                                      <a:lnTo>
                                        <a:pt x="901737" y="556751"/>
                                      </a:lnTo>
                                      <a:lnTo>
                                        <a:pt x="935213" y="530275"/>
                                      </a:lnTo>
                                      <a:lnTo>
                                        <a:pt x="964405" y="501650"/>
                                      </a:lnTo>
                                      <a:lnTo>
                                        <a:pt x="988996" y="471076"/>
                                      </a:lnTo>
                                      <a:lnTo>
                                        <a:pt x="1023115" y="404901"/>
                                      </a:lnTo>
                                      <a:lnTo>
                                        <a:pt x="1035050" y="333375"/>
                                      </a:lnTo>
                                      <a:lnTo>
                                        <a:pt x="1032013" y="297044"/>
                                      </a:lnTo>
                                      <a:lnTo>
                                        <a:pt x="1008671" y="227990"/>
                                      </a:lnTo>
                                      <a:lnTo>
                                        <a:pt x="964405" y="165100"/>
                                      </a:lnTo>
                                      <a:lnTo>
                                        <a:pt x="935213" y="136474"/>
                                      </a:lnTo>
                                      <a:lnTo>
                                        <a:pt x="901737" y="109998"/>
                                      </a:lnTo>
                                      <a:lnTo>
                                        <a:pt x="864292" y="85877"/>
                                      </a:lnTo>
                                      <a:lnTo>
                                        <a:pt x="823192" y="64312"/>
                                      </a:lnTo>
                                      <a:lnTo>
                                        <a:pt x="778754" y="45508"/>
                                      </a:lnTo>
                                      <a:lnTo>
                                        <a:pt x="731293" y="29667"/>
                                      </a:lnTo>
                                      <a:lnTo>
                                        <a:pt x="681124" y="16992"/>
                                      </a:lnTo>
                                      <a:lnTo>
                                        <a:pt x="628563" y="7687"/>
                                      </a:lnTo>
                                      <a:lnTo>
                                        <a:pt x="573924" y="1955"/>
                                      </a:lnTo>
                                      <a:lnTo>
                                        <a:pt x="5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6707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20637" y="20637"/>
                                  <a:ext cx="1035050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050" h="666750">
                                      <a:moveTo>
                                        <a:pt x="0" y="333375"/>
                                      </a:moveTo>
                                      <a:lnTo>
                                        <a:pt x="11936" y="261848"/>
                                      </a:lnTo>
                                      <a:lnTo>
                                        <a:pt x="46061" y="195673"/>
                                      </a:lnTo>
                                      <a:lnTo>
                                        <a:pt x="70656" y="165099"/>
                                      </a:lnTo>
                                      <a:lnTo>
                                        <a:pt x="99850" y="136474"/>
                                      </a:lnTo>
                                      <a:lnTo>
                                        <a:pt x="133330" y="109998"/>
                                      </a:lnTo>
                                      <a:lnTo>
                                        <a:pt x="170778" y="85877"/>
                                      </a:lnTo>
                                      <a:lnTo>
                                        <a:pt x="211879" y="64312"/>
                                      </a:lnTo>
                                      <a:lnTo>
                                        <a:pt x="256317" y="45508"/>
                                      </a:lnTo>
                                      <a:lnTo>
                                        <a:pt x="303778" y="29667"/>
                                      </a:lnTo>
                                      <a:lnTo>
                                        <a:pt x="353945" y="16992"/>
                                      </a:lnTo>
                                      <a:lnTo>
                                        <a:pt x="406502" y="7687"/>
                                      </a:lnTo>
                                      <a:lnTo>
                                        <a:pt x="461134" y="1955"/>
                                      </a:lnTo>
                                      <a:lnTo>
                                        <a:pt x="517525" y="0"/>
                                      </a:lnTo>
                                      <a:lnTo>
                                        <a:pt x="573924" y="1955"/>
                                      </a:lnTo>
                                      <a:lnTo>
                                        <a:pt x="628563" y="7687"/>
                                      </a:lnTo>
                                      <a:lnTo>
                                        <a:pt x="681124" y="16992"/>
                                      </a:lnTo>
                                      <a:lnTo>
                                        <a:pt x="731293" y="29667"/>
                                      </a:lnTo>
                                      <a:lnTo>
                                        <a:pt x="778754" y="45508"/>
                                      </a:lnTo>
                                      <a:lnTo>
                                        <a:pt x="823192" y="64312"/>
                                      </a:lnTo>
                                      <a:lnTo>
                                        <a:pt x="864292" y="85877"/>
                                      </a:lnTo>
                                      <a:lnTo>
                                        <a:pt x="901737" y="109998"/>
                                      </a:lnTo>
                                      <a:lnTo>
                                        <a:pt x="935213" y="136474"/>
                                      </a:lnTo>
                                      <a:lnTo>
                                        <a:pt x="964405" y="165100"/>
                                      </a:lnTo>
                                      <a:lnTo>
                                        <a:pt x="988996" y="195673"/>
                                      </a:lnTo>
                                      <a:lnTo>
                                        <a:pt x="1023115" y="261848"/>
                                      </a:lnTo>
                                      <a:lnTo>
                                        <a:pt x="1035050" y="333375"/>
                                      </a:lnTo>
                                      <a:lnTo>
                                        <a:pt x="1032013" y="369705"/>
                                      </a:lnTo>
                                      <a:lnTo>
                                        <a:pt x="1008671" y="438759"/>
                                      </a:lnTo>
                                      <a:lnTo>
                                        <a:pt x="964405" y="501650"/>
                                      </a:lnTo>
                                      <a:lnTo>
                                        <a:pt x="935213" y="530275"/>
                                      </a:lnTo>
                                      <a:lnTo>
                                        <a:pt x="901737" y="556751"/>
                                      </a:lnTo>
                                      <a:lnTo>
                                        <a:pt x="864292" y="580872"/>
                                      </a:lnTo>
                                      <a:lnTo>
                                        <a:pt x="823192" y="602437"/>
                                      </a:lnTo>
                                      <a:lnTo>
                                        <a:pt x="778754" y="621241"/>
                                      </a:lnTo>
                                      <a:lnTo>
                                        <a:pt x="731293" y="637082"/>
                                      </a:lnTo>
                                      <a:lnTo>
                                        <a:pt x="681124" y="649757"/>
                                      </a:lnTo>
                                      <a:lnTo>
                                        <a:pt x="628563" y="659062"/>
                                      </a:lnTo>
                                      <a:lnTo>
                                        <a:pt x="573924" y="664794"/>
                                      </a:lnTo>
                                      <a:lnTo>
                                        <a:pt x="517525" y="666750"/>
                                      </a:lnTo>
                                      <a:lnTo>
                                        <a:pt x="461134" y="664794"/>
                                      </a:lnTo>
                                      <a:lnTo>
                                        <a:pt x="406502" y="659062"/>
                                      </a:lnTo>
                                      <a:lnTo>
                                        <a:pt x="353945" y="649757"/>
                                      </a:lnTo>
                                      <a:lnTo>
                                        <a:pt x="303778" y="637082"/>
                                      </a:lnTo>
                                      <a:lnTo>
                                        <a:pt x="256317" y="621241"/>
                                      </a:lnTo>
                                      <a:lnTo>
                                        <a:pt x="211879" y="602437"/>
                                      </a:lnTo>
                                      <a:lnTo>
                                        <a:pt x="170778" y="580872"/>
                                      </a:lnTo>
                                      <a:lnTo>
                                        <a:pt x="133330" y="556751"/>
                                      </a:lnTo>
                                      <a:lnTo>
                                        <a:pt x="99850" y="530275"/>
                                      </a:lnTo>
                                      <a:lnTo>
                                        <a:pt x="70656" y="501650"/>
                                      </a:lnTo>
                                      <a:lnTo>
                                        <a:pt x="46061" y="471076"/>
                                      </a:lnTo>
                                      <a:lnTo>
                                        <a:pt x="11936" y="404901"/>
                                      </a:lnTo>
                                      <a:lnTo>
                                        <a:pt x="0" y="3333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12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35pt;margin-top:9.474397pt;width:84.75pt;height:55.75pt;mso-position-horizontal-relative:column;mso-position-vertical-relative:paragraph;z-index:-15773184" id="docshapegroup1" coordorigin="105,189" coordsize="1695,1115">
                      <v:shape style="position:absolute;left:137;top:221;width:1630;height:1050" id="docshape2" coordorigin="137,222" coordsize="1630,1050" path="m952,222l863,225,777,234,695,249,616,269,541,294,471,323,406,357,347,395,294,437,248,482,210,530,156,634,137,747,142,804,179,913,248,1012,294,1057,347,1099,406,1137,471,1171,541,1200,616,1225,695,1245,777,1260,863,1269,952,1272,1041,1269,1127,1260,1210,1245,1289,1225,1364,1200,1434,1171,1498,1137,1557,1099,1610,1057,1656,1012,1695,964,1748,860,1767,747,1762,690,1726,581,1656,482,1610,437,1557,395,1498,357,1434,323,1364,294,1289,269,1210,249,1127,234,1041,225,952,222xe" filled="true" fillcolor="#767070" stroked="false">
                        <v:path arrowok="t"/>
                        <v:fill type="solid"/>
                      </v:shape>
                      <v:shape style="position:absolute;left:137;top:221;width:1630;height:1050" id="docshape3" coordorigin="137,222" coordsize="1630,1050" path="m137,747l156,634,210,530,248,482,294,437,347,395,406,357,471,323,541,294,616,269,695,249,777,234,863,225,952,222,1041,225,1127,234,1210,249,1289,269,1364,294,1434,323,1498,357,1557,395,1610,437,1656,482,1695,530,1748,634,1767,747,1762,804,1726,913,1656,1012,1610,1057,1557,1099,1498,1137,1434,1171,1364,1200,1289,1225,1210,1245,1127,1260,1041,1269,952,1272,863,1269,777,1260,695,1245,616,1225,541,1200,471,1171,406,1137,347,1099,294,1057,248,1012,210,964,156,860,137,747xe" filled="false" stroked="true" strokeweight="3.2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72"/>
              </w:rPr>
              <w:t>4AT</w:t>
            </w:r>
          </w:p>
          <w:p>
            <w:pPr>
              <w:pStyle w:val="TableParagraph"/>
              <w:spacing w:before="18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A-cz: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Hodnotící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nástroj</w:t>
            </w:r>
          </w:p>
          <w:p>
            <w:pPr>
              <w:pStyle w:val="TableParagraph"/>
              <w:spacing w:line="233" w:lineRule="exact" w:before="1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pro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detekci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deliria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kognitivních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poruch</w:t>
            </w:r>
          </w:p>
        </w:tc>
        <w:tc>
          <w:tcPr>
            <w:tcW w:w="5322" w:type="dxa"/>
          </w:tcPr>
          <w:p>
            <w:pPr>
              <w:pStyle w:val="TableParagraph"/>
              <w:spacing w:line="178" w:lineRule="exact"/>
              <w:ind w:left="4826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(štítek)</w:t>
            </w: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Jméno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pacienta:</w:t>
            </w:r>
          </w:p>
          <w:p>
            <w:pPr>
              <w:pStyle w:val="TableParagraph"/>
              <w:spacing w:before="92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narození:</w:t>
            </w:r>
          </w:p>
          <w:p>
            <w:pPr>
              <w:pStyle w:val="TableParagraph"/>
              <w:spacing w:before="92"/>
              <w:rPr>
                <w:sz w:val="16"/>
              </w:rPr>
            </w:pPr>
            <w:r>
              <w:rPr>
                <w:sz w:val="16"/>
              </w:rPr>
              <w:t>Číslo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pacienta:</w:t>
            </w:r>
          </w:p>
          <w:p>
            <w:pPr>
              <w:pStyle w:val="TableParagraph"/>
              <w:tabs>
                <w:tab w:pos="3460" w:val="left" w:leader="none"/>
              </w:tabs>
              <w:spacing w:line="360" w:lineRule="auto" w:before="92"/>
              <w:ind w:right="298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……………………………………………………………………..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Datum: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Čas:</w:t>
            </w: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Zkoušející:</w:t>
            </w:r>
          </w:p>
        </w:tc>
      </w:tr>
    </w:tbl>
    <w:p>
      <w:pPr>
        <w:pStyle w:val="BodyText"/>
        <w:spacing w:before="181"/>
        <w:ind w:left="0"/>
        <w:rPr>
          <w:sz w:val="20"/>
        </w:rPr>
      </w:pPr>
    </w:p>
    <w:p>
      <w:pPr>
        <w:spacing w:line="20" w:lineRule="exact"/>
        <w:ind w:left="-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84009" cy="9525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84009" cy="9525"/>
                          <a:chExt cx="6684009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840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009" h="9525">
                                <a:moveTo>
                                  <a:pt x="6684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684009" y="9144"/>
                                </a:lnTo>
                                <a:lnTo>
                                  <a:pt x="6684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6.3pt;height:.75pt;mso-position-horizontal-relative:char;mso-position-vertical-relative:line" id="docshapegroup4" coordorigin="0,0" coordsize="10526,15">
                <v:rect style="position:absolute;left:0;top:0;width:10526;height:15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731" w:val="left" w:leader="none"/>
        </w:tabs>
        <w:spacing w:line="240" w:lineRule="auto" w:before="157" w:after="0"/>
        <w:ind w:left="731" w:right="0" w:hanging="359"/>
        <w:jc w:val="left"/>
        <w:rPr>
          <w:u w:val="none"/>
        </w:rPr>
      </w:pPr>
      <w:r>
        <w:rPr>
          <w:spacing w:val="-2"/>
          <w:u w:val="single"/>
        </w:rPr>
        <w:t>BDĚLOST</w:t>
      </w:r>
    </w:p>
    <w:p>
      <w:pPr>
        <w:spacing w:line="259" w:lineRule="auto" w:before="175"/>
        <w:ind w:left="372" w:right="0" w:firstLine="0"/>
        <w:jc w:val="left"/>
        <w:rPr>
          <w:i/>
          <w:sz w:val="18"/>
        </w:rPr>
      </w:pPr>
      <w:r>
        <w:rPr>
          <w:i/>
          <w:sz w:val="18"/>
        </w:rPr>
        <w:t>Zahrnuje pacienty, kteří můžou být zřetelně ospalí (např. obtížně probuditelní a/nebo zjevně ospalí v průběhu hodnocení) nebo</w:t>
      </w:r>
      <w:r>
        <w:rPr>
          <w:i/>
          <w:sz w:val="18"/>
        </w:rPr>
        <w:t> agitovaní/hyperaktivní.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Pozorujte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pacienta.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Pokud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spí,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pokuste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vzbudit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slovy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nebo se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mu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jemně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dotkněte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ramena.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Hodnocení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pomůže, když vyzvete pacienta, aby řekl svoje jméno a adresu.</w:t>
      </w:r>
    </w:p>
    <w:p>
      <w:pPr>
        <w:tabs>
          <w:tab w:pos="8982" w:val="left" w:leader="none"/>
        </w:tabs>
        <w:spacing w:before="162"/>
        <w:ind w:left="2844" w:right="0" w:firstLine="0"/>
        <w:jc w:val="left"/>
        <w:rPr>
          <w:sz w:val="18"/>
        </w:rPr>
      </w:pPr>
      <w:r>
        <w:rPr>
          <w:sz w:val="18"/>
        </w:rPr>
        <w:t>Normální</w:t>
      </w:r>
      <w:r>
        <w:rPr>
          <w:spacing w:val="-1"/>
          <w:sz w:val="18"/>
        </w:rPr>
        <w:t> </w:t>
      </w:r>
      <w:r>
        <w:rPr>
          <w:sz w:val="18"/>
        </w:rPr>
        <w:t>(během</w:t>
      </w:r>
      <w:r>
        <w:rPr>
          <w:spacing w:val="-3"/>
          <w:sz w:val="18"/>
        </w:rPr>
        <w:t> </w:t>
      </w:r>
      <w:r>
        <w:rPr>
          <w:sz w:val="18"/>
        </w:rPr>
        <w:t>hodnocení</w:t>
      </w:r>
      <w:r>
        <w:rPr>
          <w:spacing w:val="-2"/>
          <w:sz w:val="18"/>
        </w:rPr>
        <w:t> </w:t>
      </w:r>
      <w:r>
        <w:rPr>
          <w:sz w:val="18"/>
        </w:rPr>
        <w:t>plně</w:t>
      </w:r>
      <w:r>
        <w:rPr>
          <w:spacing w:val="-3"/>
          <w:sz w:val="18"/>
        </w:rPr>
        <w:t> </w:t>
      </w:r>
      <w:r>
        <w:rPr>
          <w:sz w:val="18"/>
        </w:rPr>
        <w:t>bdělý,</w:t>
      </w:r>
      <w:r>
        <w:rPr>
          <w:spacing w:val="-1"/>
          <w:sz w:val="18"/>
        </w:rPr>
        <w:t> </w:t>
      </w:r>
      <w:r>
        <w:rPr>
          <w:sz w:val="18"/>
        </w:rPr>
        <w:t>ale</w:t>
      </w:r>
      <w:r>
        <w:rPr>
          <w:spacing w:val="-1"/>
          <w:sz w:val="18"/>
        </w:rPr>
        <w:t> </w:t>
      </w:r>
      <w:r>
        <w:rPr>
          <w:sz w:val="18"/>
        </w:rPr>
        <w:t>ne</w:t>
      </w:r>
      <w:r>
        <w:rPr>
          <w:spacing w:val="-2"/>
          <w:sz w:val="18"/>
        </w:rPr>
        <w:t> agitovaný)</w:t>
      </w:r>
      <w:r>
        <w:rPr>
          <w:sz w:val="18"/>
        </w:rPr>
        <w:tab/>
      </w:r>
      <w:r>
        <w:rPr>
          <w:spacing w:val="-10"/>
          <w:sz w:val="18"/>
        </w:rPr>
        <w:t>0</w:t>
      </w:r>
    </w:p>
    <w:p>
      <w:pPr>
        <w:tabs>
          <w:tab w:pos="9006" w:val="left" w:leader="none"/>
        </w:tabs>
        <w:spacing w:before="177"/>
        <w:ind w:left="2844" w:right="0" w:firstLine="0"/>
        <w:jc w:val="left"/>
        <w:rPr>
          <w:sz w:val="18"/>
        </w:rPr>
      </w:pPr>
      <w:r>
        <w:rPr>
          <w:sz w:val="18"/>
        </w:rPr>
        <w:t>Lehká</w:t>
      </w:r>
      <w:r>
        <w:rPr>
          <w:spacing w:val="-2"/>
          <w:sz w:val="18"/>
        </w:rPr>
        <w:t> </w:t>
      </w:r>
      <w:r>
        <w:rPr>
          <w:sz w:val="18"/>
        </w:rPr>
        <w:t>ospalost</w:t>
      </w:r>
      <w:r>
        <w:rPr>
          <w:spacing w:val="1"/>
          <w:sz w:val="18"/>
        </w:rPr>
        <w:t> </w:t>
      </w:r>
      <w:r>
        <w:rPr>
          <w:sz w:val="18"/>
        </w:rPr>
        <w:t>po</w:t>
      </w:r>
      <w:r>
        <w:rPr>
          <w:spacing w:val="-2"/>
          <w:sz w:val="18"/>
        </w:rPr>
        <w:t> </w:t>
      </w:r>
      <w:r>
        <w:rPr>
          <w:sz w:val="18"/>
        </w:rPr>
        <w:t>dobu</w:t>
      </w:r>
      <w:r>
        <w:rPr>
          <w:spacing w:val="-2"/>
          <w:sz w:val="18"/>
        </w:rPr>
        <w:t> </w:t>
      </w:r>
      <w:r>
        <w:rPr>
          <w:sz w:val="18"/>
        </w:rPr>
        <w:t>méně</w:t>
      </w:r>
      <w:r>
        <w:rPr>
          <w:spacing w:val="-2"/>
          <w:sz w:val="18"/>
        </w:rPr>
        <w:t> </w:t>
      </w:r>
      <w:r>
        <w:rPr>
          <w:sz w:val="18"/>
        </w:rPr>
        <w:t>než</w:t>
      </w:r>
      <w:r>
        <w:rPr>
          <w:spacing w:val="1"/>
          <w:sz w:val="18"/>
        </w:rPr>
        <w:t> </w:t>
      </w:r>
      <w:r>
        <w:rPr>
          <w:sz w:val="18"/>
        </w:rPr>
        <w:t>10 sekund</w:t>
      </w:r>
      <w:r>
        <w:rPr>
          <w:spacing w:val="-2"/>
          <w:sz w:val="18"/>
        </w:rPr>
        <w:t> </w:t>
      </w:r>
      <w:r>
        <w:rPr>
          <w:sz w:val="18"/>
        </w:rPr>
        <w:t>po</w:t>
      </w:r>
      <w:r>
        <w:rPr>
          <w:spacing w:val="-2"/>
          <w:sz w:val="18"/>
        </w:rPr>
        <w:t> </w:t>
      </w:r>
      <w:r>
        <w:rPr>
          <w:sz w:val="18"/>
        </w:rPr>
        <w:t>probuzení,</w:t>
      </w:r>
      <w:r>
        <w:rPr>
          <w:spacing w:val="-3"/>
          <w:sz w:val="18"/>
        </w:rPr>
        <w:t> </w:t>
      </w:r>
      <w:r>
        <w:rPr>
          <w:sz w:val="18"/>
        </w:rPr>
        <w:t>pak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normální</w:t>
      </w:r>
      <w:r>
        <w:rPr>
          <w:sz w:val="18"/>
        </w:rPr>
        <w:tab/>
      </w:r>
      <w:r>
        <w:rPr>
          <w:spacing w:val="-10"/>
          <w:sz w:val="18"/>
        </w:rPr>
        <w:t>0</w:t>
      </w:r>
    </w:p>
    <w:p>
      <w:pPr>
        <w:tabs>
          <w:tab w:pos="9084" w:val="right" w:leader="none"/>
        </w:tabs>
        <w:spacing w:before="175"/>
        <w:ind w:left="2844" w:right="0" w:firstLine="0"/>
        <w:jc w:val="left"/>
        <w:rPr>
          <w:sz w:val="18"/>
        </w:rPr>
      </w:pPr>
      <w:r>
        <w:rPr>
          <w:sz w:val="18"/>
        </w:rPr>
        <w:t>Zřetelně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abnormální</w:t>
      </w:r>
      <w:r>
        <w:rPr>
          <w:sz w:val="18"/>
        </w:rPr>
        <w:tab/>
      </w:r>
      <w:r>
        <w:rPr>
          <w:spacing w:val="-10"/>
          <w:sz w:val="18"/>
        </w:rPr>
        <w:t>4</w:t>
      </w:r>
    </w:p>
    <w:p>
      <w:pPr>
        <w:pStyle w:val="Heading1"/>
        <w:numPr>
          <w:ilvl w:val="0"/>
          <w:numId w:val="1"/>
        </w:numPr>
        <w:tabs>
          <w:tab w:pos="731" w:val="left" w:leader="none"/>
        </w:tabs>
        <w:spacing w:line="240" w:lineRule="auto" w:before="177" w:after="0"/>
        <w:ind w:left="731" w:right="0" w:hanging="359"/>
        <w:jc w:val="left"/>
        <w:rPr>
          <w:u w:val="none"/>
        </w:rPr>
      </w:pPr>
      <w:r>
        <w:rPr>
          <w:spacing w:val="-2"/>
          <w:u w:val="single"/>
        </w:rPr>
        <w:t>ORIENTACE</w:t>
      </w:r>
    </w:p>
    <w:p>
      <w:pPr>
        <w:spacing w:before="177"/>
        <w:ind w:left="372" w:right="0" w:firstLine="0"/>
        <w:jc w:val="left"/>
        <w:rPr>
          <w:i/>
          <w:sz w:val="18"/>
        </w:rPr>
      </w:pPr>
      <w:r>
        <w:rPr>
          <w:i/>
          <w:sz w:val="18"/>
        </w:rPr>
        <w:t>Věk,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datum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narození,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místo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(jméno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nemocnice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nebo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budovy),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aktuální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rok</w:t>
      </w:r>
    </w:p>
    <w:p>
      <w:pPr>
        <w:tabs>
          <w:tab w:pos="8968" w:val="left" w:leader="none"/>
        </w:tabs>
        <w:spacing w:before="177"/>
        <w:ind w:left="2844" w:right="0" w:firstLine="0"/>
        <w:jc w:val="left"/>
        <w:rPr>
          <w:sz w:val="18"/>
        </w:rPr>
      </w:pPr>
      <w:r>
        <w:rPr>
          <w:sz w:val="18"/>
        </w:rPr>
        <w:t>Bez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chyby</w:t>
      </w:r>
      <w:r>
        <w:rPr>
          <w:sz w:val="18"/>
        </w:rPr>
        <w:tab/>
      </w:r>
      <w:r>
        <w:rPr>
          <w:spacing w:val="-10"/>
          <w:sz w:val="18"/>
        </w:rPr>
        <w:t>0</w:t>
      </w:r>
    </w:p>
    <w:p>
      <w:pPr>
        <w:pStyle w:val="ListParagraph"/>
        <w:numPr>
          <w:ilvl w:val="1"/>
          <w:numId w:val="1"/>
        </w:numPr>
        <w:tabs>
          <w:tab w:pos="2980" w:val="left" w:leader="none"/>
          <w:tab w:pos="8994" w:val="left" w:leader="none"/>
        </w:tabs>
        <w:spacing w:line="240" w:lineRule="auto" w:before="175" w:after="0"/>
        <w:ind w:left="2980" w:right="0" w:hanging="136"/>
        <w:jc w:val="left"/>
        <w:rPr>
          <w:sz w:val="18"/>
          <w:u w:val="none"/>
        </w:rPr>
      </w:pPr>
      <w:r>
        <w:rPr>
          <w:spacing w:val="-2"/>
          <w:sz w:val="18"/>
          <w:u w:val="none"/>
        </w:rPr>
        <w:t>chyba</w:t>
      </w:r>
      <w:r>
        <w:rPr>
          <w:sz w:val="18"/>
          <w:u w:val="none"/>
        </w:rPr>
        <w:tab/>
      </w:r>
      <w:r>
        <w:rPr>
          <w:spacing w:val="-10"/>
          <w:sz w:val="18"/>
          <w:u w:val="none"/>
        </w:rPr>
        <w:t>1</w:t>
      </w:r>
    </w:p>
    <w:p>
      <w:pPr>
        <w:pStyle w:val="ListParagraph"/>
        <w:numPr>
          <w:ilvl w:val="1"/>
          <w:numId w:val="1"/>
        </w:numPr>
        <w:tabs>
          <w:tab w:pos="2980" w:val="left" w:leader="none"/>
          <w:tab w:pos="8977" w:val="left" w:leader="none"/>
        </w:tabs>
        <w:spacing w:line="240" w:lineRule="auto" w:before="177" w:after="0"/>
        <w:ind w:left="2980" w:right="0" w:hanging="136"/>
        <w:jc w:val="left"/>
        <w:rPr>
          <w:sz w:val="18"/>
          <w:u w:val="none"/>
        </w:rPr>
      </w:pPr>
      <w:r>
        <w:rPr>
          <w:sz w:val="18"/>
          <w:u w:val="none"/>
        </w:rPr>
        <w:t>a</w:t>
      </w:r>
      <w:r>
        <w:rPr>
          <w:spacing w:val="-4"/>
          <w:sz w:val="18"/>
          <w:u w:val="none"/>
        </w:rPr>
        <w:t> </w:t>
      </w:r>
      <w:r>
        <w:rPr>
          <w:sz w:val="18"/>
          <w:u w:val="none"/>
        </w:rPr>
        <w:t>víc</w:t>
      </w:r>
      <w:r>
        <w:rPr>
          <w:spacing w:val="-2"/>
          <w:sz w:val="18"/>
          <w:u w:val="none"/>
        </w:rPr>
        <w:t> </w:t>
      </w:r>
      <w:r>
        <w:rPr>
          <w:sz w:val="18"/>
          <w:u w:val="none"/>
        </w:rPr>
        <w:t>chyb/nezvládne</w:t>
      </w:r>
      <w:r>
        <w:rPr>
          <w:spacing w:val="-3"/>
          <w:sz w:val="18"/>
          <w:u w:val="none"/>
        </w:rPr>
        <w:t> </w:t>
      </w:r>
      <w:r>
        <w:rPr>
          <w:spacing w:val="-2"/>
          <w:sz w:val="18"/>
          <w:u w:val="none"/>
        </w:rPr>
        <w:t>testování</w:t>
      </w:r>
      <w:r>
        <w:rPr>
          <w:sz w:val="18"/>
          <w:u w:val="none"/>
        </w:rPr>
        <w:tab/>
      </w:r>
      <w:r>
        <w:rPr>
          <w:spacing w:val="-10"/>
          <w:sz w:val="18"/>
          <w:u w:val="none"/>
        </w:rPr>
        <w:t>2</w:t>
      </w:r>
    </w:p>
    <w:p>
      <w:pPr>
        <w:pStyle w:val="Heading1"/>
        <w:numPr>
          <w:ilvl w:val="0"/>
          <w:numId w:val="1"/>
        </w:numPr>
        <w:tabs>
          <w:tab w:pos="731" w:val="left" w:leader="none"/>
        </w:tabs>
        <w:spacing w:line="240" w:lineRule="auto" w:before="177" w:after="0"/>
        <w:ind w:left="731" w:right="0" w:hanging="359"/>
        <w:jc w:val="left"/>
        <w:rPr>
          <w:u w:val="none"/>
        </w:rPr>
      </w:pPr>
      <w:r>
        <w:rPr>
          <w:spacing w:val="-2"/>
          <w:u w:val="single"/>
        </w:rPr>
        <w:t>POZORNOST</w:t>
      </w:r>
    </w:p>
    <w:p>
      <w:pPr>
        <w:spacing w:line="261" w:lineRule="auto" w:before="175"/>
        <w:ind w:left="372" w:right="262" w:firstLine="0"/>
        <w:jc w:val="left"/>
        <w:rPr>
          <w:i/>
          <w:sz w:val="18"/>
        </w:rPr>
      </w:pPr>
      <w:r>
        <w:rPr>
          <w:i/>
          <w:sz w:val="18"/>
        </w:rPr>
        <w:t>Zeptejte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pacienta: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„Prosím,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vyjmenujte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měsíce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 roku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pozpátku,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začínajíc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prosincem.“ K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usnadnění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úvodního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porozumění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je</w:t>
      </w:r>
      <w:r>
        <w:rPr>
          <w:i/>
          <w:sz w:val="18"/>
        </w:rPr>
        <w:t> povoleno použít jednu nápovědu: „Jaký měsíc předchází prosinci?“.</w:t>
      </w:r>
    </w:p>
    <w:p>
      <w:pPr>
        <w:tabs>
          <w:tab w:pos="9030" w:val="left" w:leader="none"/>
        </w:tabs>
        <w:spacing w:before="156"/>
        <w:ind w:left="2844" w:right="0" w:firstLine="0"/>
        <w:jc w:val="left"/>
        <w:rPr>
          <w:sz w:val="18"/>
        </w:rPr>
      </w:pPr>
      <w:r>
        <w:rPr>
          <w:sz w:val="18"/>
        </w:rPr>
        <w:t>Zvládne</w:t>
      </w:r>
      <w:r>
        <w:rPr>
          <w:spacing w:val="-4"/>
          <w:sz w:val="18"/>
        </w:rPr>
        <w:t> </w:t>
      </w:r>
      <w:r>
        <w:rPr>
          <w:sz w:val="18"/>
        </w:rPr>
        <w:t>bez</w:t>
      </w:r>
      <w:r>
        <w:rPr>
          <w:spacing w:val="-2"/>
          <w:sz w:val="18"/>
        </w:rPr>
        <w:t> </w:t>
      </w:r>
      <w:r>
        <w:rPr>
          <w:sz w:val="18"/>
        </w:rPr>
        <w:t>chyby</w:t>
      </w:r>
      <w:r>
        <w:rPr>
          <w:spacing w:val="-4"/>
          <w:sz w:val="18"/>
        </w:rPr>
        <w:t> </w:t>
      </w:r>
      <w:r>
        <w:rPr>
          <w:sz w:val="18"/>
        </w:rPr>
        <w:t>7 měsíců nebo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víc</w:t>
      </w:r>
      <w:r>
        <w:rPr>
          <w:sz w:val="18"/>
        </w:rPr>
        <w:tab/>
      </w:r>
      <w:r>
        <w:rPr>
          <w:spacing w:val="-10"/>
          <w:sz w:val="18"/>
        </w:rPr>
        <w:t>0</w:t>
      </w:r>
    </w:p>
    <w:p>
      <w:pPr>
        <w:tabs>
          <w:tab w:pos="9045" w:val="left" w:leader="none"/>
        </w:tabs>
        <w:spacing w:before="177"/>
        <w:ind w:left="2844" w:right="0" w:firstLine="0"/>
        <w:jc w:val="left"/>
        <w:rPr>
          <w:sz w:val="18"/>
        </w:rPr>
      </w:pPr>
      <w:r>
        <w:rPr>
          <w:sz w:val="18"/>
        </w:rPr>
        <w:t>Začne,</w:t>
      </w:r>
      <w:r>
        <w:rPr>
          <w:spacing w:val="-2"/>
          <w:sz w:val="18"/>
        </w:rPr>
        <w:t> </w:t>
      </w:r>
      <w:r>
        <w:rPr>
          <w:sz w:val="18"/>
        </w:rPr>
        <w:t>ale</w:t>
      </w:r>
      <w:r>
        <w:rPr>
          <w:spacing w:val="-2"/>
          <w:sz w:val="18"/>
        </w:rPr>
        <w:t> </w:t>
      </w:r>
      <w:r>
        <w:rPr>
          <w:sz w:val="18"/>
        </w:rPr>
        <w:t>naskóruje</w:t>
      </w:r>
      <w:r>
        <w:rPr>
          <w:spacing w:val="-2"/>
          <w:sz w:val="18"/>
        </w:rPr>
        <w:t> </w:t>
      </w:r>
      <w:r>
        <w:rPr>
          <w:sz w:val="18"/>
        </w:rPr>
        <w:t>méně,</w:t>
      </w:r>
      <w:r>
        <w:rPr>
          <w:spacing w:val="-2"/>
          <w:sz w:val="18"/>
        </w:rPr>
        <w:t> </w:t>
      </w:r>
      <w:r>
        <w:rPr>
          <w:sz w:val="18"/>
        </w:rPr>
        <w:t>než</w:t>
      </w:r>
      <w:r>
        <w:rPr>
          <w:spacing w:val="-3"/>
          <w:sz w:val="18"/>
        </w:rPr>
        <w:t> </w:t>
      </w:r>
      <w:r>
        <w:rPr>
          <w:sz w:val="18"/>
        </w:rPr>
        <w:t>7</w:t>
      </w:r>
      <w:r>
        <w:rPr>
          <w:spacing w:val="-3"/>
          <w:sz w:val="18"/>
        </w:rPr>
        <w:t> </w:t>
      </w:r>
      <w:r>
        <w:rPr>
          <w:sz w:val="18"/>
        </w:rPr>
        <w:t>správných</w:t>
      </w:r>
      <w:r>
        <w:rPr>
          <w:spacing w:val="-1"/>
          <w:sz w:val="18"/>
        </w:rPr>
        <w:t> </w:t>
      </w:r>
      <w:r>
        <w:rPr>
          <w:sz w:val="18"/>
        </w:rPr>
        <w:t>měsíců/</w:t>
      </w:r>
      <w:r>
        <w:rPr>
          <w:spacing w:val="-2"/>
          <w:sz w:val="18"/>
        </w:rPr>
        <w:t> </w:t>
      </w:r>
      <w:r>
        <w:rPr>
          <w:sz w:val="18"/>
        </w:rPr>
        <w:t>odmítá</w:t>
      </w:r>
      <w:r>
        <w:rPr>
          <w:spacing w:val="-2"/>
          <w:sz w:val="18"/>
        </w:rPr>
        <w:t> začít</w:t>
      </w:r>
      <w:r>
        <w:rPr>
          <w:sz w:val="18"/>
        </w:rPr>
        <w:tab/>
      </w:r>
      <w:r>
        <w:rPr>
          <w:spacing w:val="-10"/>
          <w:sz w:val="18"/>
        </w:rPr>
        <w:t>1</w:t>
      </w:r>
    </w:p>
    <w:p>
      <w:pPr>
        <w:tabs>
          <w:tab w:pos="9035" w:val="left" w:leader="none"/>
        </w:tabs>
        <w:spacing w:before="177"/>
        <w:ind w:left="2844" w:right="0" w:firstLine="0"/>
        <w:jc w:val="left"/>
        <w:rPr>
          <w:sz w:val="18"/>
        </w:rPr>
      </w:pPr>
      <w:r>
        <w:rPr>
          <w:sz w:val="18"/>
        </w:rPr>
        <w:t>Nezvládne</w:t>
      </w:r>
      <w:r>
        <w:rPr>
          <w:spacing w:val="-6"/>
          <w:sz w:val="18"/>
        </w:rPr>
        <w:t> </w:t>
      </w:r>
      <w:r>
        <w:rPr>
          <w:sz w:val="18"/>
        </w:rPr>
        <w:t>testování</w:t>
      </w:r>
      <w:r>
        <w:rPr>
          <w:spacing w:val="-2"/>
          <w:sz w:val="18"/>
        </w:rPr>
        <w:t> </w:t>
      </w:r>
      <w:r>
        <w:rPr>
          <w:sz w:val="18"/>
        </w:rPr>
        <w:t>(nemůže</w:t>
      </w:r>
      <w:r>
        <w:rPr>
          <w:spacing w:val="-3"/>
          <w:sz w:val="18"/>
        </w:rPr>
        <w:t> </w:t>
      </w:r>
      <w:r>
        <w:rPr>
          <w:sz w:val="18"/>
        </w:rPr>
        <w:t>začít,</w:t>
      </w:r>
      <w:r>
        <w:rPr>
          <w:spacing w:val="-3"/>
          <w:sz w:val="18"/>
        </w:rPr>
        <w:t> </w:t>
      </w:r>
      <w:r>
        <w:rPr>
          <w:sz w:val="18"/>
        </w:rPr>
        <w:t>protože</w:t>
      </w:r>
      <w:r>
        <w:rPr>
          <w:spacing w:val="-3"/>
          <w:sz w:val="18"/>
        </w:rPr>
        <w:t> </w:t>
      </w:r>
      <w:r>
        <w:rPr>
          <w:sz w:val="18"/>
        </w:rPr>
        <w:t>mu</w:t>
      </w:r>
      <w:r>
        <w:rPr>
          <w:spacing w:val="-1"/>
          <w:sz w:val="18"/>
        </w:rPr>
        <w:t> </w:t>
      </w:r>
      <w:r>
        <w:rPr>
          <w:sz w:val="18"/>
        </w:rPr>
        <w:t>není</w:t>
      </w:r>
      <w:r>
        <w:rPr>
          <w:spacing w:val="-5"/>
          <w:sz w:val="18"/>
        </w:rPr>
        <w:t> </w:t>
      </w:r>
      <w:r>
        <w:rPr>
          <w:sz w:val="18"/>
        </w:rPr>
        <w:t>dobře,</w:t>
      </w:r>
      <w:r>
        <w:rPr>
          <w:spacing w:val="-4"/>
          <w:sz w:val="18"/>
        </w:rPr>
        <w:t> </w:t>
      </w:r>
      <w:r>
        <w:rPr>
          <w:sz w:val="18"/>
        </w:rPr>
        <w:t>je</w:t>
      </w:r>
      <w:r>
        <w:rPr>
          <w:spacing w:val="-2"/>
          <w:sz w:val="18"/>
        </w:rPr>
        <w:t> </w:t>
      </w:r>
      <w:r>
        <w:rPr>
          <w:sz w:val="18"/>
        </w:rPr>
        <w:t>ospalý,</w:t>
      </w:r>
      <w:r>
        <w:rPr>
          <w:spacing w:val="-2"/>
          <w:sz w:val="18"/>
        </w:rPr>
        <w:t> nepozorný)</w:t>
      </w:r>
      <w:r>
        <w:rPr>
          <w:sz w:val="18"/>
        </w:rPr>
        <w:tab/>
      </w:r>
      <w:r>
        <w:rPr>
          <w:spacing w:val="-10"/>
          <w:sz w:val="18"/>
        </w:rPr>
        <w:t>2</w:t>
      </w:r>
    </w:p>
    <w:p>
      <w:pPr>
        <w:pStyle w:val="Heading1"/>
        <w:numPr>
          <w:ilvl w:val="0"/>
          <w:numId w:val="1"/>
        </w:numPr>
        <w:tabs>
          <w:tab w:pos="731" w:val="left" w:leader="none"/>
        </w:tabs>
        <w:spacing w:line="240" w:lineRule="auto" w:before="177" w:after="0"/>
        <w:ind w:left="731" w:right="0" w:hanging="359"/>
        <w:jc w:val="left"/>
        <w:rPr>
          <w:u w:val="none"/>
        </w:rPr>
      </w:pPr>
      <w:r>
        <w:rPr>
          <w:u w:val="single"/>
        </w:rPr>
        <w:t>NÁHLÁ</w:t>
      </w:r>
      <w:r>
        <w:rPr>
          <w:spacing w:val="-4"/>
          <w:u w:val="single"/>
        </w:rPr>
        <w:t> </w:t>
      </w:r>
      <w:r>
        <w:rPr>
          <w:u w:val="single"/>
        </w:rPr>
        <w:t>ZMĚNA</w:t>
      </w:r>
      <w:r>
        <w:rPr>
          <w:spacing w:val="-4"/>
          <w:u w:val="single"/>
        </w:rPr>
        <w:t> </w:t>
      </w:r>
      <w:r>
        <w:rPr>
          <w:u w:val="single"/>
        </w:rPr>
        <w:t>NEBO</w:t>
      </w:r>
      <w:r>
        <w:rPr>
          <w:spacing w:val="-6"/>
          <w:u w:val="single"/>
        </w:rPr>
        <w:t> </w:t>
      </w:r>
      <w:r>
        <w:rPr>
          <w:u w:val="single"/>
        </w:rPr>
        <w:t>KOLÍSAVÝ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PRŮBĚH</w:t>
      </w:r>
    </w:p>
    <w:p>
      <w:pPr>
        <w:spacing w:line="261" w:lineRule="auto" w:before="172"/>
        <w:ind w:left="372" w:right="204" w:firstLine="0"/>
        <w:jc w:val="left"/>
        <w:rPr>
          <w:i/>
          <w:sz w:val="18"/>
        </w:rPr>
      </w:pPr>
      <w:r>
        <w:rPr>
          <w:i/>
          <w:sz w:val="18"/>
        </w:rPr>
        <w:t>Důkaz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významné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změny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nebo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fluktuace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bdělosti,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kognici,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jiné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mentální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funkci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(např.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paranoia,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halucinace)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vzniklá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v průběhu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posledních</w:t>
      </w:r>
      <w:r>
        <w:rPr>
          <w:i/>
          <w:sz w:val="18"/>
        </w:rPr>
        <w:t> 2 týdnů a přetrvávající v průběhu posledních 24 hodin.*</w:t>
      </w:r>
    </w:p>
    <w:p>
      <w:pPr>
        <w:tabs>
          <w:tab w:pos="9042" w:val="left" w:leader="none"/>
        </w:tabs>
        <w:spacing w:before="159"/>
        <w:ind w:left="2844" w:right="0" w:firstLine="0"/>
        <w:jc w:val="left"/>
        <w:rPr>
          <w:sz w:val="18"/>
        </w:rPr>
      </w:pPr>
      <w:r>
        <w:rPr>
          <w:spacing w:val="-5"/>
          <w:sz w:val="18"/>
        </w:rPr>
        <w:t>Ne</w:t>
      </w:r>
      <w:r>
        <w:rPr>
          <w:sz w:val="18"/>
        </w:rPr>
        <w:tab/>
      </w:r>
      <w:r>
        <w:rPr>
          <w:spacing w:val="-10"/>
          <w:sz w:val="18"/>
        </w:rPr>
        <w:t>0</w:t>
      </w:r>
    </w:p>
    <w:p>
      <w:pPr>
        <w:tabs>
          <w:tab w:pos="9057" w:val="left" w:leader="none"/>
        </w:tabs>
        <w:spacing w:before="177"/>
        <w:ind w:left="2849" w:right="0" w:firstLine="0"/>
        <w:jc w:val="left"/>
        <w:rPr>
          <w:sz w:val="18"/>
        </w:rPr>
      </w:pPr>
      <w:r>
        <w:rPr>
          <w:spacing w:val="-5"/>
          <w:sz w:val="18"/>
        </w:rPr>
        <w:t>Ano</w:t>
      </w:r>
      <w:r>
        <w:rPr>
          <w:sz w:val="18"/>
        </w:rPr>
        <w:tab/>
      </w:r>
      <w:r>
        <w:rPr>
          <w:spacing w:val="-10"/>
          <w:sz w:val="18"/>
        </w:rPr>
        <w:t>4</w:t>
      </w:r>
    </w:p>
    <w:p>
      <w:pPr>
        <w:pStyle w:val="BodyText"/>
        <w:spacing w:before="187"/>
        <w:ind w:left="0"/>
        <w:rPr>
          <w:sz w:val="20"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4"/>
        <w:gridCol w:w="4417"/>
      </w:tblGrid>
      <w:tr>
        <w:trPr>
          <w:trHeight w:val="1025" w:hRule="atLeast"/>
        </w:trPr>
        <w:tc>
          <w:tcPr>
            <w:tcW w:w="572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7" w:lineRule="exact" w:before="170"/>
              <w:ind w:left="142"/>
              <w:rPr>
                <w:sz w:val="18"/>
              </w:rPr>
            </w:pPr>
            <w:r>
              <w:rPr>
                <w:b/>
                <w:sz w:val="18"/>
              </w:rPr>
              <w:t>4 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víc: </w:t>
            </w:r>
            <w:r>
              <w:rPr>
                <w:sz w:val="18"/>
              </w:rPr>
              <w:t>možné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delirium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+/-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kognitivní </w:t>
            </w:r>
            <w:r>
              <w:rPr>
                <w:spacing w:val="-2"/>
                <w:sz w:val="18"/>
              </w:rPr>
              <w:t>porucha</w:t>
            </w:r>
          </w:p>
          <w:p>
            <w:pPr>
              <w:pStyle w:val="TableParagraph"/>
              <w:spacing w:line="207" w:lineRule="exact"/>
              <w:ind w:left="142"/>
              <w:rPr>
                <w:sz w:val="18"/>
              </w:rPr>
            </w:pPr>
            <w:r>
              <w:rPr>
                <w:b/>
                <w:sz w:val="18"/>
              </w:rPr>
              <w:t>1-3: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sz w:val="18"/>
              </w:rPr>
              <w:t>možná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kognitivní</w:t>
            </w:r>
            <w:r>
              <w:rPr>
                <w:spacing w:val="-2"/>
                <w:sz w:val="18"/>
              </w:rPr>
              <w:t> porucha</w:t>
            </w:r>
          </w:p>
          <w:p>
            <w:pPr>
              <w:pStyle w:val="TableParagraph"/>
              <w:spacing w:before="2"/>
              <w:ind w:left="142" w:right="815"/>
              <w:rPr>
                <w:sz w:val="18"/>
              </w:rPr>
            </w:pPr>
            <w:r>
              <w:rPr>
                <w:b/>
                <w:sz w:val="18"/>
              </w:rPr>
              <w:t>0: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sz w:val="18"/>
              </w:rPr>
              <w:t>delirium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nebo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závažná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kognitivní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porucha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nepravděpodobná (ale delirium pořád možné pokud položka „4“ je nekompletní.</w:t>
            </w:r>
          </w:p>
        </w:tc>
        <w:tc>
          <w:tcPr>
            <w:tcW w:w="44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76"/>
              <w:ind w:left="1026"/>
              <w:rPr>
                <w:b/>
                <w:sz w:val="36"/>
              </w:rPr>
            </w:pPr>
            <w:r>
              <w:rPr>
                <w:b/>
                <w:sz w:val="3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3808">
                      <wp:simplePos x="0" y="0"/>
                      <wp:positionH relativeFrom="column">
                        <wp:posOffset>1878554</wp:posOffset>
                      </wp:positionH>
                      <wp:positionV relativeFrom="paragraph">
                        <wp:posOffset>163000</wp:posOffset>
                      </wp:positionV>
                      <wp:extent cx="929640" cy="48768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29640" cy="487680"/>
                                <a:chExt cx="929640" cy="4876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9050" y="19050"/>
                                  <a:ext cx="891540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1540" h="449580">
                                      <a:moveTo>
                                        <a:pt x="0" y="449579"/>
                                      </a:moveTo>
                                      <a:lnTo>
                                        <a:pt x="891539" y="449579"/>
                                      </a:lnTo>
                                      <a:lnTo>
                                        <a:pt x="891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0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7.917664pt;margin-top:12.834681pt;width:73.2pt;height:38.4pt;mso-position-horizontal-relative:column;mso-position-vertical-relative:paragraph;z-index:-15772672" id="docshapegroup6" coordorigin="2958,257" coordsize="1464,768">
                      <v:rect style="position:absolute;left:2988;top:286;width:1404;height:708" id="docshape7" filled="false" stroked="true" strokeweight="3.0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6"/>
              </w:rPr>
              <w:t>4AT </w:t>
            </w:r>
            <w:r>
              <w:rPr>
                <w:b/>
                <w:spacing w:val="-2"/>
                <w:sz w:val="36"/>
              </w:rPr>
              <w:t>Skóre</w:t>
            </w:r>
          </w:p>
        </w:tc>
      </w:tr>
    </w:tbl>
    <w:p>
      <w:pPr>
        <w:pStyle w:val="BodyText"/>
        <w:spacing w:before="22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667512</wp:posOffset>
                </wp:positionH>
                <wp:positionV relativeFrom="paragraph">
                  <wp:posOffset>301624</wp:posOffset>
                </wp:positionV>
                <wp:extent cx="645541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554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5410" h="9525">
                              <a:moveTo>
                                <a:pt x="64554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55410" y="9144"/>
                              </a:lnTo>
                              <a:lnTo>
                                <a:pt x="6455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560001pt;margin-top:23.749941pt;width:508.3pt;height:.72003pt;mso-position-horizontal-relative:page;mso-position-vertical-relative:paragraph;z-index:-1572812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6932" w:val="left" w:leader="none"/>
        </w:tabs>
        <w:spacing w:before="162"/>
        <w:ind w:left="37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Pokyny</w:t>
      </w:r>
      <w:r>
        <w:rPr>
          <w:b/>
          <w:sz w:val="16"/>
        </w:rPr>
        <w:tab/>
      </w:r>
      <w:r>
        <w:rPr>
          <w:sz w:val="16"/>
        </w:rPr>
        <w:t>Informace</w:t>
      </w:r>
      <w:r>
        <w:rPr>
          <w:spacing w:val="-4"/>
          <w:sz w:val="16"/>
        </w:rPr>
        <w:t> </w:t>
      </w:r>
      <w:r>
        <w:rPr>
          <w:sz w:val="16"/>
        </w:rPr>
        <w:t>k</w:t>
      </w:r>
      <w:r>
        <w:rPr>
          <w:spacing w:val="-1"/>
          <w:sz w:val="16"/>
        </w:rPr>
        <w:t> </w:t>
      </w:r>
      <w:r>
        <w:rPr>
          <w:sz w:val="16"/>
        </w:rPr>
        <w:t>verzi</w:t>
      </w:r>
      <w:r>
        <w:rPr>
          <w:spacing w:val="-2"/>
          <w:sz w:val="16"/>
        </w:rPr>
        <w:t> </w:t>
      </w:r>
      <w:r>
        <w:rPr>
          <w:sz w:val="16"/>
        </w:rPr>
        <w:t>1.2</w:t>
      </w:r>
      <w:r>
        <w:rPr>
          <w:spacing w:val="3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ke</w:t>
      </w:r>
      <w:r>
        <w:rPr>
          <w:spacing w:val="-4"/>
          <w:sz w:val="16"/>
        </w:rPr>
        <w:t> </w:t>
      </w:r>
      <w:r>
        <w:rPr>
          <w:sz w:val="16"/>
        </w:rPr>
        <w:t>stažení:</w:t>
      </w:r>
      <w:r>
        <w:rPr>
          <w:spacing w:val="-5"/>
          <w:sz w:val="16"/>
        </w:rPr>
        <w:t> </w:t>
      </w:r>
      <w:hyperlink r:id="rId5">
        <w:r>
          <w:rPr>
            <w:b/>
            <w:spacing w:val="-2"/>
            <w:sz w:val="16"/>
            <w:u w:val="single"/>
          </w:rPr>
          <w:t>www.the4AT.com</w:t>
        </w:r>
      </w:hyperlink>
    </w:p>
    <w:p>
      <w:pPr>
        <w:pStyle w:val="BodyText"/>
        <w:spacing w:line="259" w:lineRule="auto" w:before="16"/>
        <w:ind w:right="204"/>
      </w:pPr>
      <w:r>
        <w:rPr/>
        <w:t>4AT</w:t>
      </w:r>
      <w:r>
        <w:rPr>
          <w:spacing w:val="-4"/>
        </w:rPr>
        <w:t> </w:t>
      </w:r>
      <w:r>
        <w:rPr/>
        <w:t>je</w:t>
      </w:r>
      <w:r>
        <w:rPr>
          <w:spacing w:val="-2"/>
        </w:rPr>
        <w:t> </w:t>
      </w:r>
      <w:r>
        <w:rPr/>
        <w:t>screeningový</w:t>
      </w:r>
      <w:r>
        <w:rPr>
          <w:spacing w:val="-5"/>
        </w:rPr>
        <w:t> </w:t>
      </w:r>
      <w:r>
        <w:rPr/>
        <w:t>nástroj</w:t>
      </w:r>
      <w:r>
        <w:rPr>
          <w:spacing w:val="-1"/>
        </w:rPr>
        <w:t> </w:t>
      </w:r>
      <w:r>
        <w:rPr/>
        <w:t>vytvořený</w:t>
      </w:r>
      <w:r>
        <w:rPr>
          <w:spacing w:val="-5"/>
        </w:rPr>
        <w:t> </w:t>
      </w:r>
      <w:r>
        <w:rPr/>
        <w:t>k rychlému</w:t>
      </w:r>
      <w:r>
        <w:rPr>
          <w:spacing w:val="-1"/>
        </w:rPr>
        <w:t> </w:t>
      </w:r>
      <w:r>
        <w:rPr/>
        <w:t>počátečnímu</w:t>
      </w:r>
      <w:r>
        <w:rPr>
          <w:spacing w:val="-1"/>
        </w:rPr>
        <w:t> </w:t>
      </w:r>
      <w:r>
        <w:rPr/>
        <w:t>vyhodnocení</w:t>
      </w:r>
      <w:r>
        <w:rPr>
          <w:spacing w:val="-3"/>
        </w:rPr>
        <w:t> </w:t>
      </w:r>
      <w:r>
        <w:rPr/>
        <w:t>přítomnosti</w:t>
      </w:r>
      <w:r>
        <w:rPr>
          <w:spacing w:val="-3"/>
        </w:rPr>
        <w:t> </w:t>
      </w:r>
      <w:r>
        <w:rPr/>
        <w:t>deliria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kognitivní</w:t>
      </w:r>
      <w:r>
        <w:rPr>
          <w:spacing w:val="-3"/>
        </w:rPr>
        <w:t> </w:t>
      </w:r>
      <w:r>
        <w:rPr/>
        <w:t>poruchy.</w:t>
      </w:r>
      <w:r>
        <w:rPr>
          <w:spacing w:val="-1"/>
        </w:rPr>
        <w:t> </w:t>
      </w:r>
      <w:r>
        <w:rPr/>
        <w:t>Skóre</w:t>
      </w:r>
      <w:r>
        <w:rPr>
          <w:spacing w:val="-4"/>
        </w:rPr>
        <w:t> </w:t>
      </w:r>
      <w:r>
        <w:rPr/>
        <w:t>4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víc </w:t>
      </w:r>
      <w:r>
        <w:rPr>
          <w:i/>
        </w:rPr>
        <w:t>naznačuje</w:t>
      </w:r>
      <w:r>
        <w:rPr>
          <w:i/>
          <w:spacing w:val="-3"/>
        </w:rPr>
        <w:t> </w:t>
      </w:r>
      <w:r>
        <w:rPr/>
        <w:t>delirium,</w:t>
      </w:r>
      <w:r>
        <w:rPr>
          <w:spacing w:val="-1"/>
        </w:rPr>
        <w:t> </w:t>
      </w:r>
      <w:r>
        <w:rPr/>
        <w:t>ale</w:t>
      </w:r>
      <w:r>
        <w:rPr>
          <w:spacing w:val="40"/>
        </w:rPr>
        <w:t> </w:t>
      </w:r>
      <w:r>
        <w:rPr/>
        <w:t>není diagnostické: k určení diagnózy je potřebné detailnější vyšetření mentálního stavu. Skóre 1-3 naznačuje kognitivní poruchu a vyžaduje</w:t>
      </w:r>
      <w:r>
        <w:rPr>
          <w:spacing w:val="-1"/>
        </w:rPr>
        <w:t> </w:t>
      </w:r>
      <w:r>
        <w:rPr/>
        <w:t>detailnější</w:t>
      </w:r>
    </w:p>
    <w:p>
      <w:pPr>
        <w:pStyle w:val="BodyText"/>
        <w:spacing w:before="1"/>
      </w:pPr>
      <w:r>
        <w:rPr/>
        <w:t>vyšetření</w:t>
      </w:r>
      <w:r>
        <w:rPr>
          <w:spacing w:val="-9"/>
        </w:rPr>
        <w:t> </w:t>
      </w:r>
      <w:r>
        <w:rPr/>
        <w:t>kognitivních</w:t>
      </w:r>
      <w:r>
        <w:rPr>
          <w:spacing w:val="-5"/>
        </w:rPr>
        <w:t> </w:t>
      </w:r>
      <w:r>
        <w:rPr/>
        <w:t>funkcí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odebrání</w:t>
      </w:r>
      <w:r>
        <w:rPr>
          <w:spacing w:val="-7"/>
        </w:rPr>
        <w:t> </w:t>
      </w:r>
      <w:r>
        <w:rPr/>
        <w:t>pečlivé</w:t>
      </w:r>
      <w:r>
        <w:rPr>
          <w:spacing w:val="-8"/>
        </w:rPr>
        <w:t> </w:t>
      </w:r>
      <w:r>
        <w:rPr/>
        <w:t>anamnézy. Skóre</w:t>
      </w:r>
      <w:r>
        <w:rPr>
          <w:spacing w:val="-8"/>
        </w:rPr>
        <w:t> </w:t>
      </w:r>
      <w:r>
        <w:rPr/>
        <w:t>0</w:t>
      </w:r>
      <w:r>
        <w:rPr>
          <w:spacing w:val="-7"/>
        </w:rPr>
        <w:t> </w:t>
      </w:r>
      <w:r>
        <w:rPr/>
        <w:t>úplně</w:t>
      </w:r>
      <w:r>
        <w:rPr>
          <w:spacing w:val="-8"/>
        </w:rPr>
        <w:t> </w:t>
      </w:r>
      <w:r>
        <w:rPr/>
        <w:t>nevylučuje</w:t>
      </w:r>
      <w:r>
        <w:rPr>
          <w:spacing w:val="-8"/>
        </w:rPr>
        <w:t> </w:t>
      </w:r>
      <w:r>
        <w:rPr/>
        <w:t>delirium</w:t>
      </w:r>
      <w:r>
        <w:rPr>
          <w:spacing w:val="-7"/>
        </w:rPr>
        <w:t> </w:t>
      </w:r>
      <w:r>
        <w:rPr/>
        <w:t>nebo</w:t>
      </w:r>
      <w:r>
        <w:rPr>
          <w:spacing w:val="-9"/>
        </w:rPr>
        <w:t> </w:t>
      </w:r>
      <w:r>
        <w:rPr/>
        <w:t>kognitivní</w:t>
      </w:r>
      <w:r>
        <w:rPr>
          <w:spacing w:val="-7"/>
        </w:rPr>
        <w:t> </w:t>
      </w:r>
      <w:r>
        <w:rPr/>
        <w:t>deficit:</w:t>
      </w:r>
      <w:r>
        <w:rPr>
          <w:spacing w:val="-6"/>
        </w:rPr>
        <w:t> </w:t>
      </w:r>
      <w:r>
        <w:rPr/>
        <w:t>může</w:t>
      </w:r>
      <w:r>
        <w:rPr>
          <w:spacing w:val="-8"/>
        </w:rPr>
        <w:t> </w:t>
      </w:r>
      <w:r>
        <w:rPr/>
        <w:t>být</w:t>
      </w:r>
      <w:r>
        <w:rPr>
          <w:spacing w:val="-5"/>
        </w:rPr>
        <w:t> </w:t>
      </w:r>
      <w:r>
        <w:rPr/>
        <w:t>potřebné</w:t>
      </w:r>
      <w:r>
        <w:rPr>
          <w:spacing w:val="-9"/>
        </w:rPr>
        <w:t> </w:t>
      </w:r>
      <w:r>
        <w:rPr>
          <w:spacing w:val="-2"/>
        </w:rPr>
        <w:t>detailnější</w:t>
      </w:r>
    </w:p>
    <w:p>
      <w:pPr>
        <w:pStyle w:val="BodyText"/>
        <w:spacing w:line="259" w:lineRule="auto" w:before="12"/>
        <w:ind w:right="229"/>
      </w:pPr>
      <w:r>
        <w:rPr/>
        <w:t>vyšetření</w:t>
      </w:r>
      <w:r>
        <w:rPr>
          <w:spacing w:val="-1"/>
        </w:rPr>
        <w:t> </w:t>
      </w:r>
      <w:r>
        <w:rPr/>
        <w:t>v</w:t>
      </w:r>
      <w:r>
        <w:rPr>
          <w:spacing w:val="-2"/>
        </w:rPr>
        <w:t> </w:t>
      </w:r>
      <w:r>
        <w:rPr/>
        <w:t>závislosti</w:t>
      </w:r>
      <w:r>
        <w:rPr>
          <w:spacing w:val="-3"/>
        </w:rPr>
        <w:t> </w:t>
      </w:r>
      <w:r>
        <w:rPr/>
        <w:t>na</w:t>
      </w:r>
      <w:r>
        <w:rPr>
          <w:spacing w:val="-1"/>
        </w:rPr>
        <w:t> </w:t>
      </w:r>
      <w:r>
        <w:rPr/>
        <w:t>klinickém</w:t>
      </w:r>
      <w:r>
        <w:rPr>
          <w:spacing w:val="-2"/>
        </w:rPr>
        <w:t> </w:t>
      </w:r>
      <w:r>
        <w:rPr/>
        <w:t>kontextu.</w:t>
      </w:r>
      <w:r>
        <w:rPr>
          <w:spacing w:val="-1"/>
        </w:rPr>
        <w:t> </w:t>
      </w:r>
      <w:r>
        <w:rPr/>
        <w:t>Položky</w:t>
      </w:r>
      <w:r>
        <w:rPr>
          <w:spacing w:val="-5"/>
        </w:rPr>
        <w:t> </w:t>
      </w:r>
      <w:r>
        <w:rPr/>
        <w:t>1-3</w:t>
      </w:r>
      <w:r>
        <w:rPr>
          <w:spacing w:val="-3"/>
        </w:rPr>
        <w:t> </w:t>
      </w:r>
      <w:r>
        <w:rPr/>
        <w:t>jsou</w:t>
      </w:r>
      <w:r>
        <w:rPr>
          <w:spacing w:val="-3"/>
        </w:rPr>
        <w:t> </w:t>
      </w:r>
      <w:r>
        <w:rPr/>
        <w:t>hodnoceny</w:t>
      </w:r>
      <w:r>
        <w:rPr>
          <w:spacing w:val="-5"/>
        </w:rPr>
        <w:t> </w:t>
      </w:r>
      <w:r>
        <w:rPr>
          <w:i/>
        </w:rPr>
        <w:t>výhradně</w:t>
      </w:r>
      <w:r>
        <w:rPr>
          <w:i/>
          <w:spacing w:val="-4"/>
        </w:rPr>
        <w:t> </w:t>
      </w:r>
      <w:r>
        <w:rPr>
          <w:i/>
        </w:rPr>
        <w:t>observací</w:t>
      </w:r>
      <w:r>
        <w:rPr>
          <w:i/>
          <w:spacing w:val="-1"/>
        </w:rPr>
        <w:t> </w:t>
      </w:r>
      <w:r>
        <w:rPr>
          <w:i/>
        </w:rPr>
        <w:t>pacienta</w:t>
      </w:r>
      <w:r>
        <w:rPr>
          <w:i/>
          <w:spacing w:val="-2"/>
        </w:rPr>
        <w:t> </w:t>
      </w:r>
      <w:r>
        <w:rPr>
          <w:i/>
        </w:rPr>
        <w:t>v</w:t>
      </w:r>
      <w:r>
        <w:rPr>
          <w:i/>
          <w:spacing w:val="-3"/>
        </w:rPr>
        <w:t> </w:t>
      </w:r>
      <w:r>
        <w:rPr>
          <w:i/>
        </w:rPr>
        <w:t>průběhu</w:t>
      </w:r>
      <w:r>
        <w:rPr>
          <w:i/>
          <w:spacing w:val="-3"/>
        </w:rPr>
        <w:t> </w:t>
      </w:r>
      <w:r>
        <w:rPr>
          <w:i/>
        </w:rPr>
        <w:t>hodnocení. </w:t>
      </w:r>
      <w:r>
        <w:rPr/>
        <w:t>Položka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vyžaduje</w:t>
      </w:r>
      <w:r>
        <w:rPr>
          <w:spacing w:val="-6"/>
        </w:rPr>
        <w:t> </w:t>
      </w:r>
      <w:r>
        <w:rPr/>
        <w:t>informace</w:t>
      </w:r>
      <w:r>
        <w:rPr>
          <w:spacing w:val="40"/>
        </w:rPr>
        <w:t> </w:t>
      </w:r>
      <w:r>
        <w:rPr/>
        <w:t>z jednoho nebo více zdrojů, např. vaše vlastní znalost pacienta, informace od dalšího personálu, který zná pacienta (např. sestry na oddělení), zpráva od</w:t>
      </w:r>
      <w:r>
        <w:rPr>
          <w:spacing w:val="40"/>
        </w:rPr>
        <w:t> </w:t>
      </w:r>
      <w:r>
        <w:rPr/>
        <w:t>praktického lékaře, dekurs</w:t>
      </w:r>
      <w:r>
        <w:rPr>
          <w:color w:val="FF0000"/>
        </w:rPr>
        <w:t>, </w:t>
      </w:r>
      <w:r>
        <w:rPr/>
        <w:t>informace od ošetřovatelů. Hodnotitel by měl při provádění testu a interpretaci výsledku brát v úvahu překážky v komunikaci</w:t>
      </w:r>
      <w:r>
        <w:rPr>
          <w:spacing w:val="40"/>
        </w:rPr>
        <w:t> </w:t>
      </w:r>
      <w:r>
        <w:rPr/>
        <w:t>(porucha sluchu, afázie, cizí řeč).</w:t>
      </w:r>
    </w:p>
    <w:p>
      <w:pPr>
        <w:pStyle w:val="BodyText"/>
        <w:spacing w:line="259" w:lineRule="auto"/>
        <w:ind w:right="204"/>
      </w:pPr>
      <w:r>
        <w:rPr>
          <w:b/>
        </w:rPr>
        <w:t>Bdělost: </w:t>
      </w:r>
      <w:r>
        <w:rPr/>
        <w:t>Narušená bdělost je v obecných nemocničních podmínkách velmi pravděpodobně delirium. Pokud se pacient vyznačuje signifikantně narušenou</w:t>
      </w:r>
      <w:r>
        <w:rPr>
          <w:spacing w:val="40"/>
        </w:rPr>
        <w:t> </w:t>
      </w:r>
      <w:r>
        <w:rPr/>
        <w:t>bdělostí</w:t>
      </w:r>
      <w:r>
        <w:rPr>
          <w:spacing w:val="-2"/>
        </w:rPr>
        <w:t> </w:t>
      </w:r>
      <w:r>
        <w:rPr/>
        <w:t>během hodnocení</w:t>
      </w:r>
      <w:r>
        <w:rPr>
          <w:spacing w:val="-1"/>
        </w:rPr>
        <w:t> </w:t>
      </w:r>
      <w:r>
        <w:rPr/>
        <w:t>u lůžka,</w:t>
      </w:r>
      <w:r>
        <w:rPr>
          <w:spacing w:val="-3"/>
        </w:rPr>
        <w:t> </w:t>
      </w:r>
      <w:r>
        <w:rPr/>
        <w:t>skórujte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za tuto</w:t>
      </w:r>
      <w:r>
        <w:rPr>
          <w:spacing w:val="-2"/>
        </w:rPr>
        <w:t> </w:t>
      </w:r>
      <w:r>
        <w:rPr/>
        <w:t>položku.</w:t>
      </w:r>
      <w:r>
        <w:rPr>
          <w:spacing w:val="-1"/>
        </w:rPr>
        <w:t> </w:t>
      </w:r>
      <w:r>
        <w:rPr>
          <w:b/>
        </w:rPr>
        <w:t>Orientace (AMT4</w:t>
      </w:r>
      <w:r>
        <w:rPr>
          <w:b/>
          <w:spacing w:val="-2"/>
        </w:rPr>
        <w:t> </w:t>
      </w:r>
      <w:r>
        <w:rPr>
          <w:b/>
        </w:rPr>
        <w:t>zkrácený</w:t>
      </w:r>
      <w:r>
        <w:rPr>
          <w:b/>
          <w:spacing w:val="-2"/>
        </w:rPr>
        <w:t> </w:t>
      </w:r>
      <w:r>
        <w:rPr>
          <w:b/>
        </w:rPr>
        <w:t>mentální test -</w:t>
      </w:r>
      <w:r>
        <w:rPr>
          <w:b/>
          <w:spacing w:val="-4"/>
        </w:rPr>
        <w:t> </w:t>
      </w:r>
      <w:r>
        <w:rPr>
          <w:b/>
        </w:rPr>
        <w:t>4):</w:t>
      </w:r>
      <w:r>
        <w:rPr>
          <w:b/>
          <w:spacing w:val="-4"/>
        </w:rPr>
        <w:t> </w:t>
      </w:r>
      <w:r>
        <w:rPr/>
        <w:t>Tohle</w:t>
      </w:r>
      <w:r>
        <w:rPr>
          <w:spacing w:val="-3"/>
        </w:rPr>
        <w:t> </w:t>
      </w:r>
      <w:r>
        <w:rPr/>
        <w:t>skóre</w:t>
      </w:r>
      <w:r>
        <w:rPr>
          <w:spacing w:val="-3"/>
        </w:rPr>
        <w:t> </w:t>
      </w:r>
      <w:r>
        <w:rPr/>
        <w:t>může</w:t>
      </w:r>
      <w:r>
        <w:rPr>
          <w:spacing w:val="-1"/>
        </w:rPr>
        <w:t> </w:t>
      </w:r>
      <w:r>
        <w:rPr/>
        <w:t>být extrahováno</w:t>
      </w:r>
      <w:r>
        <w:rPr>
          <w:spacing w:val="-2"/>
        </w:rPr>
        <w:t> </w:t>
      </w:r>
      <w:r>
        <w:rPr/>
        <w:t>z</w:t>
      </w:r>
      <w:r>
        <w:rPr>
          <w:spacing w:val="-2"/>
        </w:rPr>
        <w:t> </w:t>
      </w:r>
      <w:r>
        <w:rPr/>
        <w:t>položek</w:t>
      </w:r>
      <w:r>
        <w:rPr>
          <w:spacing w:val="40"/>
        </w:rPr>
        <w:t> </w:t>
      </w:r>
      <w:r>
        <w:rPr/>
        <w:t>testu AMT10, pokud byl proveden těsně před hodnocením položky. </w:t>
      </w:r>
      <w:r>
        <w:rPr>
          <w:b/>
        </w:rPr>
        <w:t>Náhlá změna nebo kolísavý průběh: </w:t>
      </w:r>
      <w:r>
        <w:rPr/>
        <w:t>Fluktuace se může vyskytnout i bez deliria</w:t>
      </w:r>
      <w:r>
        <w:rPr>
          <w:spacing w:val="-1"/>
        </w:rPr>
        <w:t> </w:t>
      </w:r>
      <w:r>
        <w:rPr/>
        <w:t>u</w:t>
      </w:r>
      <w:r>
        <w:rPr>
          <w:spacing w:val="40"/>
        </w:rPr>
        <w:t> </w:t>
      </w:r>
      <w:r>
        <w:rPr/>
        <w:t>některých případů demence, ale výrazná fluktuace obyčejně značí delirium. K usnadnění vyvolání halucinací a/nebo paranoidních myšlenek se zeptejte</w:t>
      </w:r>
      <w:r>
        <w:rPr>
          <w:spacing w:val="40"/>
        </w:rPr>
        <w:t> </w:t>
      </w:r>
      <w:r>
        <w:rPr/>
        <w:t>pacienta na otázky jako: „Máte obavy z něčeho, co se tady děje?“, „Bojíte se něčeho nebo někoho?“, „Vidíte nebo slyšíte něco neobvyklé?“.</w:t>
      </w:r>
    </w:p>
    <w:p>
      <w:pPr>
        <w:spacing w:before="0"/>
        <w:ind w:left="372" w:right="0" w:firstLine="0"/>
        <w:jc w:val="left"/>
        <w:rPr>
          <w:i/>
          <w:sz w:val="16"/>
        </w:rPr>
      </w:pPr>
      <w:r>
        <w:rPr>
          <w:i/>
          <w:sz w:val="16"/>
        </w:rPr>
        <w:t>*v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případě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nesrovnalostí,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kompletní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pokyny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jsou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dostupné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na</w:t>
      </w:r>
      <w:r>
        <w:rPr>
          <w:i/>
          <w:spacing w:val="-4"/>
          <w:sz w:val="16"/>
        </w:rPr>
        <w:t> </w:t>
      </w:r>
      <w:hyperlink r:id="rId6">
        <w:r>
          <w:rPr>
            <w:i/>
            <w:color w:val="0462C1"/>
            <w:spacing w:val="-2"/>
            <w:sz w:val="16"/>
            <w:u w:val="single" w:color="0462C1"/>
          </w:rPr>
          <w:t>www.4AT.com</w:t>
        </w:r>
      </w:hyperlink>
    </w:p>
    <w:sectPr>
      <w:type w:val="continuous"/>
      <w:pgSz w:w="11910" w:h="16840"/>
      <w:pgMar w:top="7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732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>
      <w:start w:val="1"/>
      <w:numFmt w:val="decimal"/>
      <w:lvlText w:val="%2"/>
      <w:lvlJc w:val="left"/>
      <w:pPr>
        <w:ind w:left="2980" w:hanging="1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830" w:hanging="13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680" w:hanging="13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530" w:hanging="13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381" w:hanging="13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231" w:hanging="13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081" w:hanging="13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931" w:hanging="137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372"/>
    </w:pPr>
    <w:rPr>
      <w:rFonts w:ascii="Times New Roman" w:hAnsi="Times New Roman" w:eastAsia="Times New Roman" w:cs="Times New Roman"/>
      <w:sz w:val="16"/>
      <w:szCs w:val="16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731" w:hanging="359"/>
      <w:outlineLvl w:val="1"/>
    </w:pPr>
    <w:rPr>
      <w:rFonts w:ascii="Times New Roman" w:hAnsi="Times New Roman" w:eastAsia="Times New Roman" w:cs="Times New Roman"/>
      <w:b/>
      <w:bCs/>
      <w:sz w:val="18"/>
      <w:szCs w:val="18"/>
      <w:u w:val="single" w:color="00000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77"/>
      <w:ind w:left="731" w:hanging="359"/>
    </w:pPr>
    <w:rPr>
      <w:rFonts w:ascii="Times New Roman" w:hAnsi="Times New Roman" w:eastAsia="Times New Roman" w:cs="Times New Roman"/>
      <w:u w:val="single" w:color="000000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779"/>
    </w:pPr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the4AT.com/" TargetMode="External"/><Relationship Id="rId6" Type="http://schemas.openxmlformats.org/officeDocument/2006/relationships/hyperlink" Target="http://www.4at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Hrežová</dc:creator>
  <dcterms:created xsi:type="dcterms:W3CDTF">2026-07-27T18:08:32Z</dcterms:created>
  <dcterms:modified xsi:type="dcterms:W3CDTF">2026-07-27T18:08:32Z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2019</vt:lpwstr>
  </property>
</Properties>
</file>